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C7906" w14:textId="428661AF" w:rsidR="00D44B31" w:rsidRPr="00FB4119" w:rsidRDefault="00D44B31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FB4119">
        <w:rPr>
          <w:rFonts w:ascii="Calibri" w:hAnsi="Calibri" w:cs="Calibri"/>
          <w:b/>
          <w:bCs/>
          <w:sz w:val="22"/>
          <w:szCs w:val="22"/>
          <w:u w:val="single"/>
        </w:rPr>
        <w:t>Informations sur les services financiers destinées aux clients et prospects</w:t>
      </w:r>
    </w:p>
    <w:p w14:paraId="1442DB07" w14:textId="77777777" w:rsidR="00D44B31" w:rsidRPr="00D44B31" w:rsidRDefault="00D44B31">
      <w:pPr>
        <w:rPr>
          <w:rFonts w:ascii="Calibri" w:hAnsi="Calibri" w:cs="Calibri"/>
          <w:sz w:val="22"/>
          <w:szCs w:val="22"/>
        </w:rPr>
      </w:pPr>
    </w:p>
    <w:p w14:paraId="240F551A" w14:textId="3A068375" w:rsidR="00D44B31" w:rsidRPr="00D44B31" w:rsidRDefault="00D44B31">
      <w:pPr>
        <w:rPr>
          <w:rFonts w:ascii="Calibri" w:hAnsi="Calibri" w:cs="Calibri"/>
          <w:b/>
          <w:bCs/>
          <w:sz w:val="22"/>
          <w:szCs w:val="22"/>
        </w:rPr>
      </w:pPr>
      <w:r w:rsidRPr="00D44B31">
        <w:rPr>
          <w:rFonts w:ascii="Calibri" w:hAnsi="Calibri" w:cs="Calibri"/>
          <w:b/>
          <w:bCs/>
          <w:sz w:val="22"/>
          <w:szCs w:val="22"/>
        </w:rPr>
        <w:t>Nom, adresse et contacts</w:t>
      </w:r>
    </w:p>
    <w:p w14:paraId="0F1F5DB3" w14:textId="7D232ECF" w:rsidR="00D44B31" w:rsidRPr="00D44B31" w:rsidRDefault="00D44B31">
      <w:pPr>
        <w:rPr>
          <w:rFonts w:ascii="Calibri" w:hAnsi="Calibri" w:cs="Calibri"/>
          <w:sz w:val="22"/>
          <w:szCs w:val="22"/>
        </w:rPr>
      </w:pPr>
      <w:r w:rsidRPr="00D44B31">
        <w:rPr>
          <w:rFonts w:ascii="Calibri" w:hAnsi="Calibri" w:cs="Calibri"/>
          <w:sz w:val="22"/>
          <w:szCs w:val="22"/>
        </w:rPr>
        <w:t>Quadia SA</w:t>
      </w:r>
    </w:p>
    <w:p w14:paraId="0BF4CC9F" w14:textId="16D66C1B" w:rsidR="00D44B31" w:rsidRPr="00D44B31" w:rsidRDefault="00D44B31">
      <w:pPr>
        <w:rPr>
          <w:rFonts w:ascii="Calibri" w:hAnsi="Calibri" w:cs="Calibri"/>
          <w:sz w:val="22"/>
          <w:szCs w:val="22"/>
        </w:rPr>
      </w:pPr>
      <w:r w:rsidRPr="00D44B31">
        <w:rPr>
          <w:rFonts w:ascii="Calibri" w:hAnsi="Calibri" w:cs="Calibri"/>
          <w:sz w:val="22"/>
          <w:szCs w:val="22"/>
        </w:rPr>
        <w:t>Rue de l’A</w:t>
      </w:r>
      <w:r>
        <w:rPr>
          <w:rFonts w:ascii="Calibri" w:hAnsi="Calibri" w:cs="Calibri"/>
          <w:sz w:val="22"/>
          <w:szCs w:val="22"/>
        </w:rPr>
        <w:t>r</w:t>
      </w:r>
      <w:r w:rsidRPr="00D44B31">
        <w:rPr>
          <w:rFonts w:ascii="Calibri" w:hAnsi="Calibri" w:cs="Calibri"/>
          <w:sz w:val="22"/>
          <w:szCs w:val="22"/>
        </w:rPr>
        <w:t>quebuse 12</w:t>
      </w:r>
    </w:p>
    <w:p w14:paraId="26BE68D7" w14:textId="1C8BE6CF" w:rsidR="00D44B31" w:rsidRDefault="00D44B31">
      <w:pPr>
        <w:rPr>
          <w:rFonts w:ascii="Calibri" w:hAnsi="Calibri" w:cs="Calibri"/>
          <w:sz w:val="22"/>
          <w:szCs w:val="22"/>
        </w:rPr>
      </w:pPr>
      <w:r w:rsidRPr="00D44B31">
        <w:rPr>
          <w:rFonts w:ascii="Calibri" w:hAnsi="Calibri" w:cs="Calibri"/>
          <w:sz w:val="22"/>
          <w:szCs w:val="22"/>
        </w:rPr>
        <w:t>1204 Genève</w:t>
      </w:r>
    </w:p>
    <w:p w14:paraId="006C4E41" w14:textId="45157BF3" w:rsidR="00A242FA" w:rsidRPr="00D44B31" w:rsidRDefault="0031703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Tel :+4122 888 12 00</w:t>
      </w:r>
    </w:p>
    <w:p w14:paraId="6E8ACD44" w14:textId="77777777" w:rsidR="00D44B31" w:rsidRPr="00D44B31" w:rsidRDefault="00D44B31">
      <w:pPr>
        <w:rPr>
          <w:rFonts w:ascii="Calibri" w:hAnsi="Calibri" w:cs="Calibri"/>
          <w:sz w:val="22"/>
          <w:szCs w:val="22"/>
        </w:rPr>
      </w:pPr>
    </w:p>
    <w:p w14:paraId="1697EE81" w14:textId="3D597156" w:rsidR="00D44B31" w:rsidRPr="00D44B31" w:rsidRDefault="00D44B31">
      <w:pPr>
        <w:rPr>
          <w:rFonts w:ascii="Calibri" w:hAnsi="Calibri" w:cs="Calibri"/>
          <w:b/>
          <w:bCs/>
          <w:sz w:val="22"/>
          <w:szCs w:val="22"/>
        </w:rPr>
      </w:pPr>
      <w:r w:rsidRPr="00D44B31">
        <w:rPr>
          <w:rFonts w:ascii="Calibri" w:hAnsi="Calibri" w:cs="Calibri"/>
          <w:b/>
          <w:bCs/>
          <w:sz w:val="22"/>
          <w:szCs w:val="22"/>
        </w:rPr>
        <w:t>Activité et autorité de surveillance</w:t>
      </w:r>
    </w:p>
    <w:p w14:paraId="6A8CC3FB" w14:textId="1AEBA61E" w:rsidR="00D44B31" w:rsidRPr="00D44B31" w:rsidRDefault="00D44B31">
      <w:pPr>
        <w:rPr>
          <w:rFonts w:ascii="Calibri" w:hAnsi="Calibri" w:cs="Calibri"/>
          <w:sz w:val="22"/>
          <w:szCs w:val="22"/>
        </w:rPr>
      </w:pPr>
      <w:r w:rsidRPr="00D44B31">
        <w:rPr>
          <w:rFonts w:ascii="Calibri" w:hAnsi="Calibri" w:cs="Calibri"/>
          <w:sz w:val="22"/>
          <w:szCs w:val="22"/>
        </w:rPr>
        <w:t xml:space="preserve">Quadia est une société anonyme de droit suisse autorisée par la FINMA en </w:t>
      </w:r>
      <w:r w:rsidR="00C04B1E">
        <w:rPr>
          <w:rFonts w:ascii="Calibri" w:hAnsi="Calibri" w:cs="Calibri"/>
          <w:sz w:val="22"/>
          <w:szCs w:val="22"/>
        </w:rPr>
        <w:t>qualité</w:t>
      </w:r>
      <w:r w:rsidR="00C04B1E" w:rsidRPr="00D44B31">
        <w:rPr>
          <w:rFonts w:ascii="Calibri" w:hAnsi="Calibri" w:cs="Calibri"/>
          <w:sz w:val="22"/>
          <w:szCs w:val="22"/>
        </w:rPr>
        <w:t xml:space="preserve"> </w:t>
      </w:r>
      <w:r w:rsidR="00C04B1E">
        <w:rPr>
          <w:rFonts w:ascii="Calibri" w:hAnsi="Calibri" w:cs="Calibri"/>
          <w:sz w:val="22"/>
          <w:szCs w:val="22"/>
        </w:rPr>
        <w:t>de</w:t>
      </w:r>
      <w:r w:rsidR="00C04B1E" w:rsidRPr="00D44B31">
        <w:rPr>
          <w:rFonts w:ascii="Calibri" w:hAnsi="Calibri" w:cs="Calibri"/>
          <w:sz w:val="22"/>
          <w:szCs w:val="22"/>
        </w:rPr>
        <w:t xml:space="preserve"> </w:t>
      </w:r>
      <w:r w:rsidRPr="00D44B31">
        <w:rPr>
          <w:rFonts w:ascii="Calibri" w:hAnsi="Calibri" w:cs="Calibri"/>
          <w:sz w:val="22"/>
          <w:szCs w:val="22"/>
        </w:rPr>
        <w:t xml:space="preserve">gestionnaire de fortune au sens de la Loi fédérale sur les </w:t>
      </w:r>
      <w:r w:rsidR="00C04B1E">
        <w:rPr>
          <w:rFonts w:ascii="Calibri" w:hAnsi="Calibri" w:cs="Calibri"/>
          <w:sz w:val="22"/>
          <w:szCs w:val="22"/>
        </w:rPr>
        <w:t>é</w:t>
      </w:r>
      <w:r w:rsidR="00FB4119" w:rsidRPr="00D44B31">
        <w:rPr>
          <w:rFonts w:ascii="Calibri" w:hAnsi="Calibri" w:cs="Calibri"/>
          <w:sz w:val="22"/>
          <w:szCs w:val="22"/>
        </w:rPr>
        <w:t>tablissements</w:t>
      </w:r>
      <w:r w:rsidRPr="00D44B31">
        <w:rPr>
          <w:rFonts w:ascii="Calibri" w:hAnsi="Calibri" w:cs="Calibri"/>
          <w:sz w:val="22"/>
          <w:szCs w:val="22"/>
        </w:rPr>
        <w:t xml:space="preserve"> </w:t>
      </w:r>
      <w:r w:rsidR="00C04B1E">
        <w:rPr>
          <w:rFonts w:ascii="Calibri" w:hAnsi="Calibri" w:cs="Calibri"/>
          <w:sz w:val="22"/>
          <w:szCs w:val="22"/>
        </w:rPr>
        <w:t>f</w:t>
      </w:r>
      <w:r w:rsidRPr="00D44B31">
        <w:rPr>
          <w:rFonts w:ascii="Calibri" w:hAnsi="Calibri" w:cs="Calibri"/>
          <w:sz w:val="22"/>
          <w:szCs w:val="22"/>
        </w:rPr>
        <w:t>inanciers (</w:t>
      </w:r>
      <w:proofErr w:type="spellStart"/>
      <w:r w:rsidRPr="00D44B31">
        <w:rPr>
          <w:rFonts w:ascii="Calibri" w:hAnsi="Calibri" w:cs="Calibri"/>
          <w:sz w:val="22"/>
          <w:szCs w:val="22"/>
        </w:rPr>
        <w:t>LEFin</w:t>
      </w:r>
      <w:proofErr w:type="spellEnd"/>
      <w:r w:rsidRPr="00D44B31">
        <w:rPr>
          <w:rFonts w:ascii="Calibri" w:hAnsi="Calibri" w:cs="Calibri"/>
          <w:sz w:val="22"/>
          <w:szCs w:val="22"/>
        </w:rPr>
        <w:t>). La surveillance prudentielle de la Société est assurée par l</w:t>
      </w:r>
      <w:r w:rsidR="00D17314">
        <w:rPr>
          <w:rFonts w:ascii="Calibri" w:hAnsi="Calibri" w:cs="Calibri"/>
          <w:sz w:val="22"/>
          <w:szCs w:val="22"/>
        </w:rPr>
        <w:t>’AOOS, l’</w:t>
      </w:r>
      <w:r w:rsidRPr="00D44B31">
        <w:rPr>
          <w:rFonts w:ascii="Calibri" w:hAnsi="Calibri" w:cs="Calibri"/>
          <w:sz w:val="22"/>
          <w:szCs w:val="22"/>
        </w:rPr>
        <w:t xml:space="preserve">Organisme </w:t>
      </w:r>
      <w:r w:rsidR="00FB4119">
        <w:rPr>
          <w:rFonts w:ascii="Calibri" w:hAnsi="Calibri" w:cs="Calibri"/>
          <w:sz w:val="22"/>
          <w:szCs w:val="22"/>
        </w:rPr>
        <w:t>de Surveillance</w:t>
      </w:r>
      <w:r w:rsidRPr="00D44B31">
        <w:rPr>
          <w:rFonts w:ascii="Calibri" w:hAnsi="Calibri" w:cs="Calibri"/>
          <w:sz w:val="22"/>
          <w:szCs w:val="22"/>
        </w:rPr>
        <w:t xml:space="preserve"> de l’Association Suisse des Gestionnaires de Fortune (ASG).</w:t>
      </w:r>
    </w:p>
    <w:p w14:paraId="6BDF3E00" w14:textId="77777777" w:rsidR="00D44B31" w:rsidRPr="00D44B31" w:rsidRDefault="00D44B31" w:rsidP="00D44B3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</w:pPr>
      <w:r w:rsidRPr="00D44B31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>Organisme de Surveillance</w:t>
      </w:r>
    </w:p>
    <w:p w14:paraId="2C89358E" w14:textId="3336A49A" w:rsidR="00D17314" w:rsidRPr="00D17314" w:rsidRDefault="00D17314" w:rsidP="00D17314">
      <w:pPr>
        <w:rPr>
          <w:rFonts w:ascii="Calibri" w:hAnsi="Calibri" w:cs="Calibri"/>
          <w:sz w:val="22"/>
          <w:szCs w:val="22"/>
        </w:rPr>
      </w:pPr>
      <w:r w:rsidRPr="00D17314">
        <w:rPr>
          <w:rFonts w:ascii="Calibri" w:hAnsi="Calibri" w:cs="Calibri"/>
          <w:sz w:val="22"/>
          <w:szCs w:val="22"/>
        </w:rPr>
        <w:t xml:space="preserve">AOOS - Société anonyme suisse de surveillance </w:t>
      </w:r>
      <w:r w:rsidRPr="00D17314">
        <w:rPr>
          <w:rFonts w:ascii="Calibri" w:hAnsi="Calibri" w:cs="Calibri"/>
          <w:sz w:val="22"/>
          <w:szCs w:val="22"/>
        </w:rPr>
        <w:br/>
        <w:t>Rue Du-</w:t>
      </w:r>
      <w:proofErr w:type="spellStart"/>
      <w:r w:rsidRPr="00D17314">
        <w:rPr>
          <w:rFonts w:ascii="Calibri" w:hAnsi="Calibri" w:cs="Calibri"/>
          <w:sz w:val="22"/>
          <w:szCs w:val="22"/>
        </w:rPr>
        <w:t>Roveray</w:t>
      </w:r>
      <w:proofErr w:type="spellEnd"/>
      <w:r w:rsidRPr="00D17314">
        <w:rPr>
          <w:rFonts w:ascii="Calibri" w:hAnsi="Calibri" w:cs="Calibri"/>
          <w:sz w:val="22"/>
          <w:szCs w:val="22"/>
        </w:rPr>
        <w:t xml:space="preserve"> 14 </w:t>
      </w:r>
      <w:r w:rsidRPr="00D17314">
        <w:rPr>
          <w:rFonts w:ascii="Calibri" w:hAnsi="Calibri" w:cs="Calibri"/>
          <w:sz w:val="22"/>
          <w:szCs w:val="22"/>
        </w:rPr>
        <w:br/>
        <w:t xml:space="preserve">1207 Genève </w:t>
      </w:r>
      <w:r w:rsidRPr="00D17314">
        <w:rPr>
          <w:rFonts w:ascii="Calibri" w:hAnsi="Calibri" w:cs="Calibri"/>
          <w:sz w:val="22"/>
          <w:szCs w:val="22"/>
        </w:rPr>
        <w:br/>
      </w:r>
      <w:hyperlink r:id="rId5" w:history="1">
        <w:r w:rsidRPr="00D17314">
          <w:rPr>
            <w:rFonts w:ascii="Calibri" w:hAnsi="Calibri" w:cs="Calibri"/>
            <w:sz w:val="22"/>
            <w:szCs w:val="22"/>
          </w:rPr>
          <w:t xml:space="preserve">+41 22 343 40 00 </w:t>
        </w:r>
      </w:hyperlink>
      <w:r w:rsidRPr="00D17314">
        <w:rPr>
          <w:rFonts w:ascii="Calibri" w:hAnsi="Calibri" w:cs="Calibri"/>
          <w:sz w:val="22"/>
          <w:szCs w:val="22"/>
        </w:rPr>
        <w:br/>
      </w:r>
      <w:hyperlink r:id="rId6" w:history="1">
        <w:r w:rsidRPr="00D17314">
          <w:rPr>
            <w:rFonts w:ascii="Calibri" w:hAnsi="Calibri" w:cs="Calibri"/>
            <w:sz w:val="22"/>
            <w:szCs w:val="22"/>
          </w:rPr>
          <w:t xml:space="preserve">infogeneve@aoos.ch </w:t>
        </w:r>
      </w:hyperlink>
      <w:r w:rsidRPr="00D17314">
        <w:rPr>
          <w:rFonts w:ascii="Calibri" w:hAnsi="Calibri" w:cs="Calibri"/>
          <w:sz w:val="22"/>
          <w:szCs w:val="22"/>
        </w:rPr>
        <w:t xml:space="preserve"> </w:t>
      </w:r>
    </w:p>
    <w:p w14:paraId="154D160C" w14:textId="7CD2580F" w:rsidR="00D44B31" w:rsidRPr="00D44B31" w:rsidRDefault="00D44B31" w:rsidP="00D44B3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</w:pPr>
      <w:r w:rsidRPr="00D44B31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>Services financiers</w:t>
      </w:r>
    </w:p>
    <w:p w14:paraId="4BA9A63C" w14:textId="77777777" w:rsidR="00D17314" w:rsidRDefault="00D17314" w:rsidP="00D44B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Quadia</w:t>
      </w:r>
      <w:r w:rsidR="00D44B31" w:rsidRPr="00D44B31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 propose les services suivants : </w:t>
      </w:r>
    </w:p>
    <w:p w14:paraId="24C1E736" w14:textId="673BBAC4" w:rsidR="00D17314" w:rsidRDefault="00D17314" w:rsidP="00C04B1E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</w:pPr>
      <w:r w:rsidRPr="00D17314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Le conseil en placement pour des placements collectifs </w:t>
      </w:r>
      <w:r w:rsidR="00C04B1E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de capitaux</w:t>
      </w:r>
    </w:p>
    <w:p w14:paraId="5462C1C8" w14:textId="7978EE7B" w:rsidR="00D17314" w:rsidRDefault="00D17314" w:rsidP="00D17314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</w:pPr>
      <w:r w:rsidRPr="00D17314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 La gestion de placements collectifs inférieure aux seuils fixés à l’art. 24 al. 2 </w:t>
      </w:r>
      <w:proofErr w:type="spellStart"/>
      <w:r w:rsidRPr="00D17314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LEFin</w:t>
      </w:r>
      <w:proofErr w:type="spellEnd"/>
    </w:p>
    <w:p w14:paraId="5FEE902F" w14:textId="2F61D980" w:rsidR="00D17314" w:rsidRDefault="00D17314" w:rsidP="00D17314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</w:pPr>
      <w:r w:rsidRPr="00D17314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Le conseil en placement pour des clients professionnels dont des clients </w:t>
      </w:r>
      <w:r w:rsidR="005E573C" w:rsidRPr="00D17314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institutionnels</w:t>
      </w:r>
    </w:p>
    <w:p w14:paraId="53623ACC" w14:textId="416F1FB8" w:rsidR="005E573C" w:rsidRPr="0009198A" w:rsidRDefault="00D17314" w:rsidP="00D17314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</w:pPr>
      <w:r w:rsidRPr="00D17314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L’offre d’instruments financiers </w:t>
      </w:r>
    </w:p>
    <w:p w14:paraId="26E9400F" w14:textId="41C23B1A" w:rsidR="00D44B31" w:rsidRPr="00D17314" w:rsidRDefault="00D44B31" w:rsidP="00D17314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</w:pPr>
      <w:r w:rsidRPr="00D17314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>Classification de la clientèle</w:t>
      </w:r>
    </w:p>
    <w:p w14:paraId="5D4B3865" w14:textId="79E718A5" w:rsidR="00D44B31" w:rsidRPr="00D44B31" w:rsidRDefault="00BE70CD" w:rsidP="00C04B1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Conformément à la </w:t>
      </w:r>
      <w:proofErr w:type="spellStart"/>
      <w:r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LSFin</w:t>
      </w:r>
      <w:proofErr w:type="spellEnd"/>
      <w:r w:rsidR="009148AC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,</w:t>
      </w:r>
      <w:r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 les prestataires de services financiers doivent classer leur clientèle afin que ceux-ci bénéficient d’une protection correspondant à leur segment</w:t>
      </w:r>
      <w:r w:rsidR="008E3807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ation.</w:t>
      </w:r>
      <w:r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 </w:t>
      </w:r>
      <w:r w:rsidR="008E3807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br/>
      </w:r>
      <w:r w:rsidR="00C04B1E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L’offre de service de </w:t>
      </w:r>
      <w:r w:rsidR="00D17314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Quadia</w:t>
      </w:r>
      <w:r w:rsidR="00D44B31" w:rsidRPr="00D44B31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 </w:t>
      </w:r>
      <w:r w:rsidR="00C04B1E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s’adresse à des clients professionnels et institutionnels au sens de la </w:t>
      </w:r>
      <w:proofErr w:type="spellStart"/>
      <w:r w:rsidR="00C04B1E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LSFin</w:t>
      </w:r>
      <w:proofErr w:type="spellEnd"/>
      <w:r w:rsidR="00C04B1E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.</w:t>
      </w:r>
      <w:r w:rsidR="00D44B31" w:rsidRPr="00D44B31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 </w:t>
      </w:r>
    </w:p>
    <w:p w14:paraId="29BF5655" w14:textId="77777777" w:rsidR="00D44B31" w:rsidRPr="00D44B31" w:rsidRDefault="00D44B31" w:rsidP="00D44B3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</w:pPr>
      <w:r w:rsidRPr="00D44B31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>Information quant aux risques</w:t>
      </w:r>
    </w:p>
    <w:p w14:paraId="2C5FB3FA" w14:textId="77777777" w:rsidR="00D44B31" w:rsidRDefault="00D44B31" w:rsidP="00D44B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</w:pPr>
      <w:r w:rsidRPr="00D44B31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L’investissement dans des instruments financiers comporte des risques. Ces risques sont expliqués dans la brochure émise par l’Association suisse des Banquiers sur les Risques inhérents au commerce </w:t>
      </w:r>
      <w:r w:rsidRPr="00D44B31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lastRenderedPageBreak/>
        <w:t xml:space="preserve">d'instruments financiers, laquelle peut être téléchargée sur le site Internet de </w:t>
      </w:r>
      <w:proofErr w:type="spellStart"/>
      <w:r w:rsidRPr="00D44B31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SwissBanking</w:t>
      </w:r>
      <w:proofErr w:type="spellEnd"/>
      <w:r w:rsidRPr="00D44B31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 : </w:t>
      </w:r>
      <w:hyperlink r:id="rId7" w:history="1">
        <w:r w:rsidRPr="00D44B31">
          <w:rPr>
            <w:rFonts w:ascii="Calibri" w:eastAsia="Times New Roman" w:hAnsi="Calibri" w:cs="Calibri"/>
            <w:color w:val="0000FF"/>
            <w:kern w:val="0"/>
            <w:sz w:val="22"/>
            <w:szCs w:val="22"/>
            <w:u w:val="single"/>
            <w:lang w:eastAsia="fr-FR"/>
            <w14:ligatures w14:val="none"/>
          </w:rPr>
          <w:t>www.swissbanking.ch/en/downloads</w:t>
        </w:r>
      </w:hyperlink>
      <w:r w:rsidRPr="00D44B31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.</w:t>
      </w:r>
    </w:p>
    <w:p w14:paraId="61877192" w14:textId="77777777" w:rsidR="00070BF5" w:rsidRPr="00D44B31" w:rsidRDefault="00070BF5" w:rsidP="00D44B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</w:pPr>
    </w:p>
    <w:p w14:paraId="6E884107" w14:textId="0A3DDA99" w:rsidR="00D44B31" w:rsidRDefault="00D44B31" w:rsidP="00D44B3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</w:pPr>
      <w:r w:rsidRPr="003E52FD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>Information quant au</w:t>
      </w:r>
      <w:r w:rsidR="00C04B1E" w:rsidRPr="003E52FD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 xml:space="preserve"> coût</w:t>
      </w:r>
      <w:r w:rsidRPr="003E52FD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 xml:space="preserve"> des services fournis</w:t>
      </w:r>
    </w:p>
    <w:p w14:paraId="3D729C61" w14:textId="27C7694D" w:rsidR="00511BC4" w:rsidRPr="003E52FD" w:rsidRDefault="00511BC4" w:rsidP="00D44B3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</w:pPr>
      <w:r w:rsidRPr="003E52FD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La rémunération de Quadia est en ligne avec </w:t>
      </w:r>
      <w:r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les conditions de marché pour des prestations comparables. Elle est clairement explicitée dans les mandats de gestion ou de conseil.</w:t>
      </w:r>
      <w:r w:rsidR="00BE70CD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 La Société fournit sur demande toute information complémentaire.</w:t>
      </w:r>
    </w:p>
    <w:p w14:paraId="2B223EF2" w14:textId="64E4563C" w:rsidR="00BE70CD" w:rsidRDefault="00BE70CD" w:rsidP="00D44B3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>Relations avec des tierces parties en lien avec la fourniture de services financiers</w:t>
      </w:r>
    </w:p>
    <w:p w14:paraId="2E4E30E8" w14:textId="7264EDDC" w:rsidR="00BE70CD" w:rsidRPr="003E52FD" w:rsidRDefault="00BE70CD" w:rsidP="003E52FD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</w:pPr>
      <w:r w:rsidRPr="003E52FD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Si de telles relations existent</w:t>
      </w:r>
      <w:r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,</w:t>
      </w:r>
      <w:r w:rsidRPr="003E52FD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 elles</w:t>
      </w:r>
      <w:r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 sont clairement divulguées dans les mandats afin de garantir le consentement éclairé des parties.</w:t>
      </w:r>
    </w:p>
    <w:p w14:paraId="45FB894E" w14:textId="01F7D71C" w:rsidR="00D44B31" w:rsidRPr="00D44B31" w:rsidRDefault="00D44B31" w:rsidP="00D44B3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</w:pPr>
      <w:r w:rsidRPr="00D44B31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>Conflits d’</w:t>
      </w:r>
      <w:r w:rsidR="009148AC" w:rsidRPr="00D44B31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>intérêt</w:t>
      </w:r>
    </w:p>
    <w:p w14:paraId="5DCF5DDC" w14:textId="5E46ACBF" w:rsidR="00D44B31" w:rsidRPr="00D44B31" w:rsidRDefault="00D44B31" w:rsidP="00D44B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Quadia</w:t>
      </w:r>
      <w:r w:rsidRPr="00D44B31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 a pris les mesures organisationnelles visant à identifier, minimiser et gérer les conflits d’intérêt. Si les conflits d’intérêt ne peuvent être ni éliminés ni gérés de façon satisfaisante, la Société les porte à la connaissance des clients concernés. </w:t>
      </w:r>
      <w:r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Quadia</w:t>
      </w:r>
      <w:r w:rsidRPr="00D44B31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 </w:t>
      </w:r>
      <w:r w:rsidR="00A242FA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détaille ses dispositions de gestion des</w:t>
      </w:r>
      <w:r w:rsidRPr="00D44B31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 </w:t>
      </w:r>
      <w:r w:rsidR="00A242FA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c</w:t>
      </w:r>
      <w:r w:rsidRPr="00D44B31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onflits d’Intérêt </w:t>
      </w:r>
      <w:r w:rsidR="005E573C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dans son Compliance Manual </w:t>
      </w:r>
      <w:r w:rsidRPr="00D44B31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et tient régulièrement à jour une matrice dans laquelle ces derniers sont consignés.</w:t>
      </w:r>
    </w:p>
    <w:p w14:paraId="7750A9AB" w14:textId="77777777" w:rsidR="00D44B31" w:rsidRPr="00D44B31" w:rsidRDefault="00D44B31" w:rsidP="00D44B3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</w:pPr>
      <w:r w:rsidRPr="00D44B31">
        <w:rPr>
          <w:rFonts w:ascii="Calibri" w:eastAsia="Times New Roman" w:hAnsi="Calibri" w:cs="Calibri"/>
          <w:b/>
          <w:bCs/>
          <w:kern w:val="0"/>
          <w:sz w:val="22"/>
          <w:szCs w:val="22"/>
          <w:lang w:eastAsia="fr-FR"/>
          <w14:ligatures w14:val="none"/>
        </w:rPr>
        <w:t>Organe de médiation</w:t>
      </w:r>
    </w:p>
    <w:p w14:paraId="6C8A02C6" w14:textId="0CEA60EF" w:rsidR="00D44B31" w:rsidRPr="00D44B31" w:rsidRDefault="00D44B31" w:rsidP="00D44B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</w:pPr>
      <w:r w:rsidRPr="00D44B31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Conformément à la loi, </w:t>
      </w:r>
      <w:r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Quadia</w:t>
      </w:r>
      <w:r w:rsidRPr="00D44B31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 est affilée auprès d’un Ombudsman, à qui les clients peuvent s’adresser à tout moment en vue de faire appel à ses services de résolution</w:t>
      </w:r>
      <w:r w:rsidR="00A242FA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 de différent</w:t>
      </w:r>
      <w:r w:rsidRPr="00D44B31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.</w:t>
      </w:r>
      <w:r w:rsidR="00A242FA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 </w:t>
      </w:r>
    </w:p>
    <w:p w14:paraId="0DDF09F5" w14:textId="77F9D928" w:rsidR="00D44B31" w:rsidRPr="00CF3357" w:rsidRDefault="00317032" w:rsidP="00CF335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</w:pPr>
      <w:proofErr w:type="spellStart"/>
      <w:r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Terraxis</w:t>
      </w:r>
      <w:proofErr w:type="spellEnd"/>
      <w:r w:rsidR="00D44B31" w:rsidRPr="00D44B31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br/>
      </w:r>
      <w:r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Rue de la tour de l’Ile 1</w:t>
      </w:r>
      <w:r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br/>
      </w:r>
      <w:r w:rsidR="00D44B31" w:rsidRPr="00D44B31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>1204 Genève</w:t>
      </w:r>
      <w:r w:rsidR="00D44B31" w:rsidRPr="00D44B31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br/>
        <w:t>Suisse</w:t>
      </w:r>
      <w:r w:rsidR="00D44B31" w:rsidRPr="00D44B31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br/>
        <w:t>Tel: +41 22 808 04 51</w:t>
      </w:r>
      <w:r w:rsidR="00D44B31" w:rsidRPr="00D44B31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br/>
        <w:t>contact@ombudfinance.ch</w:t>
      </w:r>
      <w:r w:rsidR="00D44B31" w:rsidRPr="00D44B31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br/>
        <w:t xml:space="preserve">Site internet: </w:t>
      </w:r>
      <w:hyperlink r:id="rId8" w:history="1">
        <w:r w:rsidR="00D44B31" w:rsidRPr="00D44B31">
          <w:rPr>
            <w:rFonts w:ascii="Calibri" w:eastAsia="Times New Roman" w:hAnsi="Calibri" w:cs="Calibri"/>
            <w:color w:val="0000FF"/>
            <w:kern w:val="0"/>
            <w:sz w:val="22"/>
            <w:szCs w:val="22"/>
            <w:u w:val="single"/>
            <w:lang w:eastAsia="fr-FR"/>
            <w14:ligatures w14:val="none"/>
          </w:rPr>
          <w:t>www.ombudfinance.ch</w:t>
        </w:r>
      </w:hyperlink>
      <w:r w:rsidR="00D44B31" w:rsidRPr="00D44B31">
        <w:rPr>
          <w:rFonts w:ascii="Calibri" w:eastAsia="Times New Roman" w:hAnsi="Calibri" w:cs="Calibri"/>
          <w:kern w:val="0"/>
          <w:sz w:val="22"/>
          <w:szCs w:val="22"/>
          <w:lang w:eastAsia="fr-FR"/>
          <w14:ligatures w14:val="none"/>
        </w:rPr>
        <w:t xml:space="preserve"> </w:t>
      </w:r>
    </w:p>
    <w:sectPr w:rsidR="00D44B31" w:rsidRPr="00CF3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1C9C"/>
    <w:multiLevelType w:val="multilevel"/>
    <w:tmpl w:val="8800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40340"/>
    <w:multiLevelType w:val="hybridMultilevel"/>
    <w:tmpl w:val="B6183C42"/>
    <w:lvl w:ilvl="0" w:tplc="4A6A492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A2FB5"/>
    <w:multiLevelType w:val="hybridMultilevel"/>
    <w:tmpl w:val="34F4C042"/>
    <w:lvl w:ilvl="0" w:tplc="7024993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106246">
    <w:abstractNumId w:val="1"/>
  </w:num>
  <w:num w:numId="2" w16cid:durableId="249118975">
    <w:abstractNumId w:val="0"/>
  </w:num>
  <w:num w:numId="3" w16cid:durableId="2121758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C69"/>
    <w:rsid w:val="00070BF5"/>
    <w:rsid w:val="0009198A"/>
    <w:rsid w:val="002A6F87"/>
    <w:rsid w:val="00317032"/>
    <w:rsid w:val="003C323D"/>
    <w:rsid w:val="003E52FD"/>
    <w:rsid w:val="003F2288"/>
    <w:rsid w:val="00402C69"/>
    <w:rsid w:val="00511BC4"/>
    <w:rsid w:val="005E573C"/>
    <w:rsid w:val="00621AA7"/>
    <w:rsid w:val="008017BC"/>
    <w:rsid w:val="008E3807"/>
    <w:rsid w:val="009148AC"/>
    <w:rsid w:val="009868B5"/>
    <w:rsid w:val="00A242FA"/>
    <w:rsid w:val="00A936D1"/>
    <w:rsid w:val="00BE70CD"/>
    <w:rsid w:val="00C04B1E"/>
    <w:rsid w:val="00CA46F4"/>
    <w:rsid w:val="00CF3357"/>
    <w:rsid w:val="00D17314"/>
    <w:rsid w:val="00D44B31"/>
    <w:rsid w:val="00FB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B71CC9"/>
  <w15:chartTrackingRefBased/>
  <w15:docId w15:val="{8DB117DA-ECF2-E140-93EC-48F0FCDF7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02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02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C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C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02C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C6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C6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C6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C6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C6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C6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C6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C6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C6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C6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C6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44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ienhypertexte">
    <w:name w:val="Hyperlink"/>
    <w:basedOn w:val="Policepardfaut"/>
    <w:uiPriority w:val="99"/>
    <w:semiHidden/>
    <w:unhideWhenUsed/>
    <w:rsid w:val="00D44B31"/>
    <w:rPr>
      <w:color w:val="0000FF"/>
      <w:u w:val="single"/>
    </w:rPr>
  </w:style>
  <w:style w:type="paragraph" w:customStyle="1" w:styleId="p1">
    <w:name w:val="p1"/>
    <w:basedOn w:val="Normal"/>
    <w:rsid w:val="00D17314"/>
    <w:pPr>
      <w:spacing w:after="0" w:line="240" w:lineRule="auto"/>
    </w:pPr>
    <w:rPr>
      <w:rFonts w:ascii="Calibri" w:eastAsia="Times New Roman" w:hAnsi="Calibri" w:cs="Calibri"/>
      <w:color w:val="000000"/>
      <w:kern w:val="0"/>
      <w:sz w:val="17"/>
      <w:szCs w:val="17"/>
      <w:lang w:eastAsia="fr-FR"/>
      <w14:ligatures w14:val="none"/>
    </w:rPr>
  </w:style>
  <w:style w:type="character" w:customStyle="1" w:styleId="s1">
    <w:name w:val="s1"/>
    <w:basedOn w:val="Policepardfaut"/>
    <w:rsid w:val="00D17314"/>
    <w:rPr>
      <w:rFonts w:ascii="Arial" w:hAnsi="Arial" w:cs="Arial" w:hint="default"/>
      <w:sz w:val="17"/>
      <w:szCs w:val="17"/>
    </w:rPr>
  </w:style>
  <w:style w:type="character" w:customStyle="1" w:styleId="s2">
    <w:name w:val="s2"/>
    <w:basedOn w:val="Policepardfaut"/>
    <w:rsid w:val="00D17314"/>
    <w:rPr>
      <w:rFonts w:ascii="Helvetica" w:hAnsi="Helvetica" w:hint="default"/>
      <w:sz w:val="17"/>
      <w:szCs w:val="17"/>
    </w:rPr>
  </w:style>
  <w:style w:type="character" w:customStyle="1" w:styleId="apple-converted-space">
    <w:name w:val="apple-converted-space"/>
    <w:basedOn w:val="Policepardfaut"/>
    <w:rsid w:val="00D17314"/>
  </w:style>
  <w:style w:type="paragraph" w:styleId="Rvision">
    <w:name w:val="Revision"/>
    <w:hidden/>
    <w:uiPriority w:val="99"/>
    <w:semiHidden/>
    <w:rsid w:val="00A242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mbudfinance.c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wissbanking.ch/en/download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geneve@aoos.ch" TargetMode="External"/><Relationship Id="rId5" Type="http://schemas.openxmlformats.org/officeDocument/2006/relationships/hyperlink" Target="tel:004191940400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2688</Characters>
  <Application>Microsoft Office Word</Application>
  <DocSecurity>4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Riva</dc:creator>
  <cp:keywords/>
  <dc:description/>
  <cp:lastModifiedBy>Mathilde Gagnebin-Badoud</cp:lastModifiedBy>
  <cp:revision>2</cp:revision>
  <dcterms:created xsi:type="dcterms:W3CDTF">2026-07-15T14:33:00Z</dcterms:created>
  <dcterms:modified xsi:type="dcterms:W3CDTF">2026-07-15T14:33:00Z</dcterms:modified>
</cp:coreProperties>
</file>